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 xml:space="preserve">Připomínky CIT k  vypracování PD   </w:t>
      </w:r>
    </w:p>
    <w:p>
      <w:pPr>
        <w:pStyle w:val="Normal"/>
        <w:tabs>
          <w:tab w:val="left" w:pos="426" w:leader="none"/>
          <w:tab w:val="right" w:pos="1276" w:leader="none"/>
          <w:tab w:val="left" w:pos="2977" w:leader="none"/>
        </w:tabs>
        <w:ind w:left="1276" w:hanging="709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AKCE: Slaboproud rekonstrukce budovy A</w:t>
      </w:r>
    </w:p>
    <w:p>
      <w:pPr>
        <w:pStyle w:val="Normal"/>
        <w:tabs>
          <w:tab w:val="left" w:pos="426" w:leader="none"/>
          <w:tab w:val="right" w:pos="1276" w:leader="none"/>
          <w:tab w:val="left" w:pos="2977" w:leader="none"/>
        </w:tabs>
        <w:ind w:left="1276" w:hanging="709"/>
        <w:jc w:val="center"/>
        <w:rPr>
          <w:bCs/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„</w:t>
      </w:r>
      <w:r>
        <w:rPr>
          <w:bCs/>
          <w:color w:val="FF0000"/>
          <w:sz w:val="28"/>
          <w:szCs w:val="28"/>
        </w:rPr>
        <w:t>Ostravská univerzita“</w:t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  <w:t>Vnitřní slaboproudé a zabezpečovací rozvody</w:t>
      </w:r>
    </w:p>
    <w:p>
      <w:pPr>
        <w:pStyle w:val="Normal"/>
        <w:rPr>
          <w:rFonts w:cs="Arial"/>
        </w:rPr>
      </w:pPr>
      <w:r>
        <w:rPr>
          <w:rFonts w:cs="Arial"/>
        </w:rPr>
        <w:t>Akce: Rekonstrukce budovy A, Ostravská univerzita</w:t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  <w:u w:val="single"/>
        </w:rPr>
        <w:t>Kabeláž, UPT Zásuvky a datové porty</w:t>
      </w:r>
      <w:r>
        <w:rPr>
          <w:rFonts w:cs="Arial"/>
        </w:rPr>
        <w:t>: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V budově je nyní UTP kabeláž cat.5 v </w:t>
      </w:r>
      <w:r>
        <w:rPr>
          <w:rFonts w:cs="Arial"/>
          <w:b/>
        </w:rPr>
        <w:t>havarijním</w:t>
      </w:r>
      <w:r>
        <w:rPr>
          <w:rFonts w:cs="Arial"/>
        </w:rPr>
        <w:t xml:space="preserve"> stavu a je </w:t>
      </w:r>
      <w:r>
        <w:rPr>
          <w:rFonts w:cs="Arial"/>
          <w:b/>
        </w:rPr>
        <w:t>NUTNÉ</w:t>
      </w:r>
      <w:r>
        <w:rPr>
          <w:rFonts w:cs="Arial"/>
        </w:rPr>
        <w:t xml:space="preserve"> ji zcela rekonstruovat.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Kabeláž v celém objektu bude UTP cat. 6. (pro PC, Wi-Fi, IP CCTV, koncové telefony).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Na jedno pracovní místo počítat 3 datové porty, v případě 3 pracovních míst naprojektovat 10 datových portů (5 dvojzásuvek).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V kancelářích s jedním pracovním místem počítat s výbavou pro dvě pracovní místa, tj. 6 datových portů (3 dvojzásuvky).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Zasedací místnosti doporučujeme osadit podlahovými krabicemi pod stolem. Vybavení krabice budou dvě datové dvojzásuvky + zásuvky 230V. V případě požadavků také VGA, HDMI konektor pro dataprojektor.</w:t>
      </w:r>
    </w:p>
    <w:p>
      <w:pPr>
        <w:pStyle w:val="ListParagraph"/>
        <w:numPr>
          <w:ilvl w:val="0"/>
          <w:numId w:val="1"/>
        </w:numPr>
        <w:rPr>
          <w:rFonts w:cs="Arial"/>
          <w:u w:val="single"/>
        </w:rPr>
      </w:pPr>
      <w:r>
        <w:rPr>
          <w:rFonts w:cs="Arial"/>
        </w:rPr>
        <w:t>Vybavení PC učebny dle uspořádání PC stolů buď zásuvky v podlahových krabicích, nebo v lištách ve stolech.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V případě nutnosti PC učebnu osadit samostatným rackem min. 60x60 včetně Switche, UPS, Patch panelem a optickým připojením do infrastruktury datové sítě OU. Veškeré zařízení musí být </w:t>
      </w:r>
      <w:r>
        <w:rPr/>
        <w:t>navrženo dle technického standardu IT specialisty CIT.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V místnostech skladů, šaten apod. místnostech zázemí vždy osadit min. dvojzásuvku UTP.</w:t>
      </w:r>
    </w:p>
    <w:p>
      <w:pPr>
        <w:pStyle w:val="Normal"/>
        <w:numPr>
          <w:ilvl w:val="0"/>
          <w:numId w:val="1"/>
        </w:numPr>
        <w:spacing w:lineRule="auto" w:line="240" w:before="0" w:after="0"/>
        <w:rPr/>
      </w:pPr>
      <w:r>
        <w:rPr/>
        <w:t>Součástí předání slaboproudého rozvodu UTP budou i měřící protokoly této sítě uložené na CD a předány zástupcům CITu.</w:t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  <w:u w:val="single"/>
        </w:rPr>
      </w:pPr>
      <w:r>
        <w:rPr>
          <w:rFonts w:cs="Arial"/>
          <w:u w:val="single"/>
        </w:rPr>
        <w:t>Wi-Fi</w:t>
      </w:r>
    </w:p>
    <w:p>
      <w:pPr>
        <w:pStyle w:val="ListParagraph"/>
        <w:numPr>
          <w:ilvl w:val="0"/>
          <w:numId w:val="3"/>
        </w:numPr>
        <w:rPr>
          <w:rFonts w:cs="Arial"/>
        </w:rPr>
      </w:pPr>
      <w:r>
        <w:rPr>
          <w:rFonts w:cs="Arial"/>
        </w:rPr>
        <w:t>Nyní v objektu probíhá obnova starých nespolehlivých AP za nové. Nové AP lze po rekonstrukci budovy opět namontovat a použít. V případě dalších požadavků na pokrytí budovy signálem Wi-Fi, bude nutné počítat při rekonstrukci budovy s jejich dokoupením.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Pokrytí signálem Wi-Fi  - celý objekt – 2 porty/1dvojzásuvka pro AP, napájení AP bude řešeno PoE. V případě rozpočtu bez pořízení nových Wi-Fi AP, počítat s přípravou nové kabeláže. Nechť je v budoucnu zajištěna možnost připojení AP do již připraveného místa.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Počet AP a jejich osazení dle návrhu specialisty CIT.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/>
        <w:t xml:space="preserve">Rozmístění Wi-Fi - AP nesmí být stíněn kovovými předměty a také musí být zajištěn přívod vzduchu kvůli chlazení AP, příkon je až 30W. V případě umístění na strop je nutné dostat se volně k AP v případě poruchy. 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/>
        <w:t>V případě nutností potřeby silného signálu, lze zaměnit standardní AP za "AP High Density" - cca 1x na patro.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/>
        <w:t>Pokud by byl problém umístit AP v místnostech a není zde požadavek na silnou Wi-Fi, mohou být AP umístěné na chodbách u daných místností. Upřesnění umístění Wi-Fi musí být konzultováno se zástupcem CIT.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/>
        <w:t>Barva AP je standardně bílá.</w:t>
      </w:r>
    </w:p>
    <w:p>
      <w:pPr>
        <w:pStyle w:val="ListParagraph"/>
        <w:rPr>
          <w:rFonts w:cs="Arial"/>
          <w:color w:val="FF0000"/>
        </w:rPr>
      </w:pPr>
      <w:r>
        <w:rPr>
          <w:rFonts w:cs="Arial"/>
          <w:color w:val="FF0000"/>
        </w:rPr>
      </w:r>
    </w:p>
    <w:p>
      <w:pPr>
        <w:pStyle w:val="Normal"/>
        <w:rPr>
          <w:rFonts w:cs="Arial"/>
          <w:u w:val="single"/>
        </w:rPr>
      </w:pPr>
      <w:r>
        <w:rPr>
          <w:rFonts w:cs="Arial"/>
          <w:u w:val="single"/>
        </w:rPr>
        <w:t>IP CCTV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V současné době je celá budova pokryta pouze 5 kamerami. Tento stav doporučujeme upravit dle požadavků CIT a uživatelů budovy.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Samostatné zásuvky pro kamery - 2 porty/1dvojzásuvka.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Samostatný Patch panel v Racku pro kamerovou UTP kabeláž.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Napájení kamer bude z PoE switche, umístěného v serverovně.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Počet kamer a jejich osazení dle návrhu specialisty CIT. V případě škrtání počtu navržených kamer doporučujeme ctít původní návrh, co do přípravy kabeláže se týče. Nechť je v budoucnu zajištěna možnost připojení kamery do již připraveného místa.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Doporučujeme umístit venkovní kamery (např. monitorovat parkoviště, příjezdovou bránu) </w:t>
      </w:r>
    </w:p>
    <w:p>
      <w:pPr>
        <w:pStyle w:val="ListParagraph"/>
        <w:numPr>
          <w:ilvl w:val="0"/>
          <w:numId w:val="1"/>
        </w:numPr>
        <w:rPr/>
      </w:pPr>
      <w:r>
        <w:rPr/>
        <w:t>V objektu bude jedno sledovací stanoviště.</w:t>
      </w:r>
    </w:p>
    <w:p>
      <w:pPr>
        <w:pStyle w:val="ListParagraph"/>
        <w:numPr>
          <w:ilvl w:val="0"/>
          <w:numId w:val="1"/>
        </w:numPr>
        <w:rPr/>
      </w:pPr>
      <w:r>
        <w:rPr/>
        <w:t>Standard používaný uživatelem - technologie Axis, Panasonic, obslužný SW Logiware go1984.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V současné době se v budově A nenachází kamerový server. Kamery se monitorují serverem umístěným na budově M. V případě velkého navýšení nových kamer je třeba počítat s pořízením nového kamerového serveru, umístěným v serverovně budovy A. 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Specifikaci serveru dle přání dodáme.</w:t>
      </w:r>
    </w:p>
    <w:p>
      <w:pPr>
        <w:pStyle w:val="ListParagraph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  <w:u w:val="single"/>
        </w:rPr>
      </w:pPr>
      <w:r>
        <w:rPr>
          <w:rFonts w:cs="Arial"/>
          <w:u w:val="single"/>
        </w:rPr>
        <w:t>SERVEROVNA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Nynější umístění servrovny je zcela </w:t>
      </w:r>
      <w:r>
        <w:rPr>
          <w:rFonts w:cs="Arial"/>
          <w:b/>
        </w:rPr>
        <w:t>nevyhovující</w:t>
      </w:r>
      <w:r>
        <w:rPr>
          <w:rFonts w:cs="Arial"/>
        </w:rPr>
        <w:t xml:space="preserve">.  Je součástí výukové místnosti a bez vyrušení výuky se do ní nedá vstoupit. Proto </w:t>
      </w:r>
      <w:r>
        <w:rPr>
          <w:rFonts w:cs="Arial"/>
          <w:b/>
        </w:rPr>
        <w:t>žádáme</w:t>
      </w:r>
      <w:r>
        <w:rPr>
          <w:rFonts w:cs="Arial"/>
        </w:rPr>
        <w:t xml:space="preserve"> v rámci rekonstrukce o přesunutí serverovny do samostatné místnosti s přímým vstupem z chodby. Souvisí s tím i přemístění, nebo natažení zcela nových rozvodu UTP kabeláže v budově A.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Serverovna musí byt umístěna minimálně v 1NP, nebo ve vyšším podlaží. 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V případě osazení serverovny pouze jedním rackem, je minimální rozměr serverovny 2x3 m. V případě osazení většího počtu racku, je nutné místnost náležitě zvětšit.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Racky -  rozměr 800/800mm, min 42 U, svařovaná skříň. Rozebíratelné racky nepřipadají v úvahu.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V serverovně nejsou požadavky na osazení zásuvek slaboproudu.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/>
        <w:t>Napájecí okruhy pro napájení serverovny požadujeme 3 samostatné okruhy (UPS, UPS WIFI, rezerva)</w:t>
      </w:r>
      <w:r>
        <w:rPr>
          <w:rFonts w:cs="Arial"/>
        </w:rPr>
        <w:t xml:space="preserve"> s jištěním zásuvek charakteristiky C16/1. 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Napájení silnoproudých okruhů pro serverovnu zapojit mimo proudové chrániče jednotlivých pater.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Bezpečnostní dveře šířky min. 90cm a zámek.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Antistatická podlaha.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V případě oken v serverovně použít ochranné žaluzie bílé barvy.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V případě nutnosti zabezpečení serverovny zajistit mříže do oken, popř. bezpečnostní fólie - pokud budou dostupná z přízemí.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Vstup do serverovny vybaven čtečkou karet.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V serverovně nesmí být další technologické zařízení, které nemá souvislost s komunikačním systémem, zabezpečovací technikou či ostatního slaboproudu. (např. elektrorozvaděče NN, vodovodní potrubí, radiátory, atd.)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Po realizaci budovy žádáme dodání kopie klíčů serverovny zástupci CITu.</w:t>
      </w:r>
      <w:bookmarkStart w:id="0" w:name="_GoBack"/>
      <w:bookmarkEnd w:id="0"/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  <w:u w:val="single"/>
        </w:rPr>
      </w:pPr>
      <w:r>
        <w:rPr>
          <w:rFonts w:cs="Arial"/>
          <w:u w:val="single"/>
        </w:rPr>
        <w:t>UPS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Nyní je v serverovně A204 UPS z roku 2005 a je </w:t>
      </w:r>
      <w:r>
        <w:rPr>
          <w:rFonts w:cs="Arial"/>
          <w:b/>
        </w:rPr>
        <w:t>nutné</w:t>
      </w:r>
      <w:r>
        <w:rPr>
          <w:rFonts w:cs="Arial"/>
        </w:rPr>
        <w:t xml:space="preserve"> ji po rekonstrukci budovy nahradit novou UPS, potřebného výkonu s dvojitou konverzí a Smart slotem pro připojení SNMP monitorovací karty.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Pro napájení velkého počtu Wi-FI AP (např. 50 ks), použít UPS s dvojitou konverzí a Smart slotem pro připojení SNMP (po rekonstrukci budovy lze použít stávající USP, letos nově zakoupenou včetně SNMP karty, která je nyní je v serverovně A204).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Všechny UPS + SNMP karty musí být kompatibilní s centrálním dohledovým systémem na CIT (karta typu AP9630).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Minimální záloha UPS v případě výpadku napájení cca 20 min.</w:t>
      </w:r>
    </w:p>
    <w:p>
      <w:pPr>
        <w:pStyle w:val="ListParagraph"/>
        <w:rPr>
          <w:rFonts w:cs="Arial"/>
          <w:u w:val="single"/>
        </w:rPr>
      </w:pPr>
      <w:r>
        <w:rPr>
          <w:rFonts w:cs="Arial"/>
          <w:u w:val="single"/>
        </w:rPr>
        <w:t xml:space="preserve"> </w:t>
      </w:r>
    </w:p>
    <w:p>
      <w:pPr>
        <w:pStyle w:val="Normal"/>
        <w:rPr>
          <w:rFonts w:cs="Arial"/>
          <w:u w:val="single"/>
        </w:rPr>
      </w:pPr>
      <w:r>
        <w:rPr>
          <w:rFonts w:cs="Arial"/>
          <w:u w:val="single"/>
        </w:rPr>
        <w:t>CHLAZENÍ SERVEROVNY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Nyní je v serverovně A204 klimatizace z roku 2011. Při rekonstrukci bychom doporučili tuto klimatizaci nahradit zcela novou, samostatnou klimatizace typu SPLIT, potřebného výkonu (např. 5kW).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Z důvodu značného poklesu životnosti zařízení v serverovně  (akumulátory UPS, Switche), požadujeme konstantní teplotu v serverovně 21°C. 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Samostatné jištění klimatizací s hodnotou jističe C16/1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Serverovnu vybavit VZT ventilátorem, spínaný termostatem při vysoké teplotě v případě poruchy klimatizace.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Klimatizaci neumisťovat nad technologické zařízení (Racky, Slaboproudé rozváděče).</w:t>
      </w:r>
    </w:p>
    <w:p>
      <w:pPr>
        <w:pStyle w:val="ListParagraph"/>
        <w:rPr>
          <w:rFonts w:cs="Arial"/>
        </w:rPr>
      </w:pPr>
      <w:r>
        <w:rPr>
          <w:rFonts w:cs="Arial"/>
        </w:rPr>
        <w:t>V případě poruchy z ní může téct voda.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Venkovní kondenzátor umístit na dostupné místo s minimální pochozí výškou, nebo na střechu budovy. (Pro možnost opravy, kvůli jeho poruše).</w:t>
      </w:r>
    </w:p>
    <w:p>
      <w:pPr>
        <w:pStyle w:val="ListParagraph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  <w:u w:val="single"/>
        </w:rPr>
      </w:pPr>
      <w:r>
        <w:rPr>
          <w:rFonts w:cs="Arial"/>
          <w:u w:val="single"/>
        </w:rPr>
        <w:t xml:space="preserve">OPTICKÉ  A METALICKÉ KABELY </w:t>
      </w:r>
    </w:p>
    <w:p>
      <w:pPr>
        <w:pStyle w:val="Odstavecseseznamem1"/>
        <w:numPr>
          <w:ilvl w:val="0"/>
          <w:numId w:val="1"/>
        </w:numPr>
        <w:rPr>
          <w:rFonts w:eastAsia="Calibri" w:cs="Arial" w:eastAsiaTheme="minorHAnsi"/>
        </w:rPr>
      </w:pPr>
      <w:r>
        <w:rPr>
          <w:rFonts w:eastAsia="Calibri" w:cs="Arial" w:eastAsiaTheme="minorHAnsi"/>
        </w:rPr>
        <w:t>Připojení serverovny na konektivitu CIT je provedeno optickou kabeláží, typ kabelu SM 09/125 - počet vláken 48 v ODF 48 s konektory E2000/APC, zakonektorovaných prvých 12 vláken, konektory E2000/APC + optická police umístěná v racku A204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Připojení serverovny na konektivitu CIT, je provedeno metalickou kabeláží, typ kabelu TCEPKP 50x2x0,6Cu, zakončená na telefonním patchpanelu cat.3, v racku A204.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V případě velkého navýšení počtu koncových telefonních přístrojů (klapek) v budově A, je nutné z telefonního rozvodu CIT natáhnout nový telefonní kabel TCEPKP 50x2x0,6Cu do serverovny budovy A, zakončené na patchpanelu cat.3, přes již zřízené podzemní trasy, zmíněné v dalším bodě.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Optická a metalická kabeláž vstupuje do budovy A v chráničkách HDPE 40 a Kopoflex. Obě vyúsťují ve sklepě na chodbě. Poté jsou společně v příchytkách vedené po zdi chodbou sklepa a prochází přes 1NP do 2NP, kde je nynější serverovna. Vedeni v budově odhadujeme na cca 20m + malá rezerva kabeláže v racku (cca 20m).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V obou chráničkách je dostatek místa pro další dotažení nových kabelů.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Přeložka kabelů do nové místnosti serverovny je bezproblémová, pokud se dodrží maximální vzdálenost nynější kabeláže. V případě, že bude délka kabeláže nedostačující, musí se provést její prodloužení (optická a metalická spojka).</w:t>
      </w:r>
    </w:p>
    <w:p>
      <w:pPr>
        <w:pStyle w:val="Normal"/>
        <w:numPr>
          <w:ilvl w:val="0"/>
          <w:numId w:val="1"/>
        </w:numPr>
        <w:spacing w:lineRule="auto" w:line="240" w:before="0" w:after="0"/>
        <w:rPr/>
      </w:pPr>
      <w:r>
        <w:rPr/>
        <w:t>Součástí předání slaboproudého rozvodu budou i měřící protokoly této optickometalic</w:t>
      </w:r>
      <w:r>
        <w:rPr/>
        <w:t>k</w:t>
      </w:r>
      <w:r>
        <w:rPr/>
        <w:t>é sítě uložené na CD a předány zástupcům CITu.</w:t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  <w:u w:val="single"/>
        </w:rPr>
        <w:t>STA</w:t>
      </w:r>
      <w:r>
        <w:rPr>
          <w:rFonts w:cs="Arial"/>
        </w:rPr>
        <w:t xml:space="preserve"> - návrh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Společná televizní anténa je na zvážení uživatelů.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/>
          <w:u w:val="single"/>
        </w:rPr>
      </w:pPr>
      <w:r>
        <w:rPr>
          <w:rFonts w:cs="Arial"/>
          <w:u w:val="single"/>
        </w:rPr>
        <w:t>EKV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Všechny učebny budou vybaveny čtečkami, popřípadě pouze přípravou na jejich pozdější montáž.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Serverovna bude vybavena čtečkou.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Vstupní dveře budou mít čtečky, popřípadě pouze přípravou na jejich pozdější montáž.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V příslušných dveřích musí být instalován elektrický zámek a samozavírač.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Další rozmístění čtečky nechť doplní uživatelé budovy.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Technologie přístupu systému bude dodržena z důvodu kompatibility stávajícího systému – dodavatel IVAR Poděbrady.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/>
        <w:t>Řídící terminál čteček na budově bude zařízení Etherlite (a k tomu zálohovaný napájecí zdroj). Etherlite bude komunikovat s centrálním serverem pro řízení přístupového systému (který nebude v rámci těchto staveb, ale bude řešen v centrálním projektu na změnu technologie)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Technologie nově používaných karet – 13,25 MHz/125 KHz (Mifare, HID apod.)  Karty H4102, 125KHz.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Projektant danou technologii musí konzultovat přímo s daným výrobcem (IVAR)</w:t>
      </w:r>
    </w:p>
    <w:p>
      <w:pPr>
        <w:pStyle w:val="ListParagraph"/>
        <w:rPr>
          <w:rFonts w:cs="Arial"/>
        </w:rPr>
      </w:pPr>
      <w:r>
        <w:rPr>
          <w:rFonts w:cs="Arial"/>
        </w:rPr>
        <w:t>(Po konzultaci s dodavatelem (firma Ivar) se nabízejí dvě možnosti: - čtečka typu FL7, nebo čtečka vyráběna přímo firmou IVAR, s designem, která navrhne naše FU).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/>
          <w:u w:val="single"/>
        </w:rPr>
      </w:pPr>
      <w:r>
        <w:rPr>
          <w:rFonts w:cs="Arial"/>
          <w:u w:val="single"/>
        </w:rPr>
        <w:t>TU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Budova A využívá metalické připojení na telefonní ústřednu, která je umístěna v budově CIT. 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Po rekonstrukci lze v budově používat stávající koncové telefonní přístroje. Tyto telefony jsou pořizované již od roku 1996 a jsou značně opotřebeny jejich provozem. Proto doporučujeme zakoupení nových v rámci rekonstrukce budovy.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Nové pořízené koncové telefonní přístroje budou typu analogové, či digitální,</w:t>
      </w:r>
    </w:p>
    <w:p>
      <w:pPr>
        <w:pStyle w:val="Odstavecseseznamem1"/>
        <w:numPr>
          <w:ilvl w:val="0"/>
          <w:numId w:val="1"/>
        </w:numPr>
        <w:rPr>
          <w:rFonts w:eastAsia="Calibri" w:cs="Arial" w:eastAsiaTheme="minorHAnsi"/>
        </w:rPr>
      </w:pPr>
      <w:r>
        <w:rPr>
          <w:rFonts w:eastAsia="Calibri" w:cs="Arial" w:eastAsiaTheme="minorHAnsi"/>
        </w:rPr>
        <w:t xml:space="preserve">V případě výrazného zvýšení počtu analogových, či digitálních linek, je nutné počítat s navýšením účastnických licencí a karet, do stávající telefonní ústředny H4k v8 fy. Unify </w:t>
      </w:r>
      <w:r>
        <w:rPr>
          <w:rFonts w:cs="Arial"/>
        </w:rPr>
        <w:t>na CIT.</w:t>
      </w:r>
    </w:p>
    <w:p>
      <w:pPr>
        <w:pStyle w:val="ListParagraph"/>
        <w:rPr>
          <w:rFonts w:cs="Arial"/>
        </w:rPr>
      </w:pPr>
      <w:r>
        <w:rPr>
          <w:rFonts w:cs="Arial"/>
        </w:rPr>
      </w:r>
    </w:p>
    <w:p>
      <w:pPr>
        <w:pStyle w:val="Normal"/>
        <w:rPr>
          <w:caps/>
          <w:u w:val="single"/>
        </w:rPr>
      </w:pPr>
      <w:r>
        <w:rPr>
          <w:caps/>
          <w:u w:val="single"/>
        </w:rPr>
        <w:t>KOMUNIKACE – parking závory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U každé vjezdové závory a vstupního vchodu bude osazen dveřní komunikátor zapojený jako jedna analogová pobočka telefonní ústředny v provedení s jedním zvonkovým tlačítkem. </w:t>
      </w:r>
    </w:p>
    <w:p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U každé vjezdové závory a vstupního vchodu bude osazena IP kamera a čtečka.</w:t>
      </w:r>
    </w:p>
    <w:p>
      <w:pPr>
        <w:pStyle w:val="ListParagraph"/>
        <w:rPr>
          <w:rFonts w:cs="Arial"/>
        </w:rPr>
      </w:pPr>
      <w:r>
        <w:rPr>
          <w:rFonts w:cs="Arial"/>
        </w:rPr>
      </w:r>
    </w:p>
    <w:p>
      <w:pPr>
        <w:pStyle w:val="Normal"/>
        <w:rPr>
          <w:caps/>
          <w:u w:val="single"/>
        </w:rPr>
      </w:pPr>
      <w:r>
        <w:rPr>
          <w:caps/>
          <w:u w:val="single"/>
        </w:rPr>
        <w:t>Evakuační rozhlas, provozní rozhlas</w:t>
      </w:r>
    </w:p>
    <w:p>
      <w:pPr>
        <w:pStyle w:val="ListParagraph"/>
        <w:numPr>
          <w:ilvl w:val="0"/>
          <w:numId w:val="2"/>
        </w:numPr>
        <w:rPr/>
      </w:pPr>
      <w:r>
        <w:rPr/>
        <w:t>V objektu by měl být evakuační rozhlas - skutečnost dle rozhodnutí projektu.</w:t>
      </w:r>
    </w:p>
    <w:p>
      <w:pPr>
        <w:pStyle w:val="ListParagraph"/>
        <w:numPr>
          <w:ilvl w:val="0"/>
          <w:numId w:val="2"/>
        </w:numPr>
        <w:rPr/>
      </w:pPr>
      <w:r>
        <w:rPr/>
        <w:t>V objektu může být také provozní rozhlas - skutečnost dle rozhodnutí projektu</w:t>
      </w:r>
    </w:p>
    <w:p>
      <w:pPr>
        <w:pStyle w:val="ListParagraph"/>
        <w:numPr>
          <w:ilvl w:val="0"/>
          <w:numId w:val="2"/>
        </w:numPr>
        <w:rPr/>
      </w:pPr>
      <w:r>
        <w:rPr/>
        <w:t>Systém napojeny na HZS.</w:t>
      </w:r>
    </w:p>
    <w:p>
      <w:pPr>
        <w:pStyle w:val="ListParagraph"/>
        <w:ind w:left="780" w:hanging="0"/>
        <w:rPr/>
      </w:pPr>
      <w:r>
        <w:rPr/>
      </w:r>
    </w:p>
    <w:p>
      <w:pPr>
        <w:pStyle w:val="Normal"/>
        <w:rPr>
          <w:caps/>
          <w:u w:val="single"/>
        </w:rPr>
      </w:pPr>
      <w:r>
        <w:rPr>
          <w:caps/>
          <w:u w:val="single"/>
        </w:rPr>
        <w:t xml:space="preserve">El. zabezpečovací signalizace – </w:t>
      </w:r>
      <w:r>
        <w:rPr>
          <w:u w:val="single"/>
        </w:rPr>
        <w:t>návrh</w:t>
      </w:r>
    </w:p>
    <w:p>
      <w:pPr>
        <w:pStyle w:val="ListParagraph"/>
        <w:numPr>
          <w:ilvl w:val="0"/>
          <w:numId w:val="2"/>
        </w:numPr>
        <w:rPr/>
      </w:pPr>
      <w:r>
        <w:rPr/>
        <w:t>EZS provedena s částečnou plášťovou ochranou v objektu – hlídány všechny otvíravé části v úrovni vstupů do objektu a v úrovni 1.NP, kombinace s audio čidly – tříštění skla a PIR čidly</w:t>
      </w:r>
      <w:r>
        <w:rPr>
          <w:i/>
        </w:rPr>
        <w:t>.</w:t>
      </w:r>
    </w:p>
    <w:p>
      <w:pPr>
        <w:pStyle w:val="ListParagraph"/>
        <w:numPr>
          <w:ilvl w:val="0"/>
          <w:numId w:val="2"/>
        </w:numPr>
        <w:rPr/>
      </w:pPr>
      <w:r>
        <w:rPr/>
        <w:t>Ostatní podlaží  - budou střeženy pouze komunikační společné prostory prostorovými PIR čidly.</w:t>
      </w:r>
    </w:p>
    <w:p>
      <w:pPr>
        <w:pStyle w:val="ListParagraph"/>
        <w:numPr>
          <w:ilvl w:val="0"/>
          <w:numId w:val="2"/>
        </w:numPr>
        <w:rPr/>
      </w:pPr>
      <w:r>
        <w:rPr/>
        <w:t>Místnosti kanceláří apod. střeženy nebudou.</w:t>
      </w:r>
    </w:p>
    <w:p>
      <w:pPr>
        <w:pStyle w:val="ListParagraph"/>
        <w:numPr>
          <w:ilvl w:val="0"/>
          <w:numId w:val="2"/>
        </w:numPr>
        <w:rPr/>
      </w:pPr>
      <w:r>
        <w:rPr/>
        <w:t xml:space="preserve">Ovládací klávesnice bude osazena jedna – v prostoru hlavního vstupu do objektu v 1.NP, popřípadě další dle požadavku uživatelů. </w:t>
      </w:r>
    </w:p>
    <w:p>
      <w:pPr>
        <w:pStyle w:val="ListParagraph"/>
        <w:numPr>
          <w:ilvl w:val="0"/>
          <w:numId w:val="2"/>
        </w:numPr>
        <w:rPr/>
      </w:pPr>
      <w:r>
        <w:rPr/>
        <w:t>V objektu bude osazena grafická nástavba – integrace el. zabezpečovací signalizace, el. požární signalizace, CCTV, el. kontrola přístupu.</w:t>
      </w:r>
    </w:p>
    <w:p>
      <w:pPr>
        <w:pStyle w:val="ListParagraph"/>
        <w:numPr>
          <w:ilvl w:val="0"/>
          <w:numId w:val="2"/>
        </w:numPr>
        <w:rPr/>
      </w:pPr>
      <w:r>
        <w:rPr/>
        <w:t>Uživatel sdělí požadavky na hlídání prostor ve specializovaných pracovištích, či učebnách.</w:t>
      </w:r>
    </w:p>
    <w:p>
      <w:pPr>
        <w:pStyle w:val="ListParagraph"/>
        <w:numPr>
          <w:ilvl w:val="0"/>
          <w:numId w:val="2"/>
        </w:numPr>
        <w:rPr/>
      </w:pPr>
      <w:r>
        <w:rPr/>
        <w:t>Napojení na PCO.</w:t>
      </w:r>
    </w:p>
    <w:p>
      <w:pPr>
        <w:pStyle w:val="ListParagraph"/>
        <w:numPr>
          <w:ilvl w:val="0"/>
          <w:numId w:val="2"/>
        </w:numPr>
        <w:rPr/>
      </w:pPr>
      <w:r>
        <w:rPr/>
        <w:t xml:space="preserve">Serverovna bude mít samostatnou hlídanou zónu, další zóny budou zřízeny na přání uživatelů. </w:t>
      </w:r>
    </w:p>
    <w:p>
      <w:pPr>
        <w:pStyle w:val="Normal"/>
        <w:ind w:left="420" w:hanging="0"/>
        <w:rPr/>
      </w:pPr>
      <w:r>
        <w:rPr/>
      </w:r>
    </w:p>
    <w:p>
      <w:pPr>
        <w:pStyle w:val="Normal"/>
        <w:rPr>
          <w:rFonts w:cs="Arial"/>
          <w:u w:val="single"/>
        </w:rPr>
      </w:pPr>
      <w:r>
        <w:rPr>
          <w:rFonts w:cs="Arial"/>
          <w:u w:val="single"/>
        </w:rPr>
        <w:t>AUDIO VIDEO</w:t>
      </w:r>
    </w:p>
    <w:p>
      <w:pPr>
        <w:pStyle w:val="ListParagraph"/>
        <w:numPr>
          <w:ilvl w:val="0"/>
          <w:numId w:val="2"/>
        </w:numPr>
        <w:rPr/>
      </w:pPr>
      <w:r>
        <w:rPr/>
        <w:t>Velice specifická oblast, je nutné řešit samostatným projektem.</w:t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  <w:u w:val="single"/>
        </w:rPr>
      </w:pPr>
      <w:r>
        <w:rPr>
          <w:rFonts w:cs="Arial"/>
          <w:u w:val="single"/>
        </w:rPr>
        <w:t>OSTATNÍ</w:t>
      </w:r>
    </w:p>
    <w:p>
      <w:pPr>
        <w:pStyle w:val="ListParagraph"/>
        <w:numPr>
          <w:ilvl w:val="0"/>
          <w:numId w:val="1"/>
        </w:numPr>
        <w:rPr/>
      </w:pPr>
      <w:r>
        <w:rPr/>
        <w:t>Aktivní prvky pro datovou síť dle informací nebudou součástí projektu. Pokud se situace změní a budou součástí rekonstrukce budovy A, je třeba dodržet navržený technický standard dle IT specialisty CIT. Jedná se o Switche, UPS, WIFI, Kamery, koncové telefonní přístroje, optické vybavení včetně optických modulů).</w:t>
      </w:r>
    </w:p>
    <w:p>
      <w:pPr>
        <w:pStyle w:val="ListParagraph"/>
        <w:numPr>
          <w:ilvl w:val="0"/>
          <w:numId w:val="1"/>
        </w:numPr>
        <w:rPr/>
      </w:pPr>
      <w:r>
        <w:rPr/>
        <w:t>Pracoviště technika IT. I v případě menšího počtu IT vybavení na celé budově je žádoucí dostatečný prostor pro technika AT + AV techniky na budově. Kancelář by se neměla nacházet v nejnižším patře. Použití pevnějších dveří, aby nebylo možno kancelář vykrást.</w:t>
      </w:r>
    </w:p>
    <w:p>
      <w:pPr>
        <w:pStyle w:val="ListParagraph"/>
        <w:numPr>
          <w:ilvl w:val="0"/>
          <w:numId w:val="1"/>
        </w:numPr>
        <w:rPr/>
      </w:pPr>
      <w:r>
        <w:rPr/>
        <w:t>Uživatel sdělí požadavky na zásuvky jak datové tak 230V ve specializovaných pracovištích - např. PC učebny, speciální učebny a k nim příslušné prostory, apod.</w:t>
      </w:r>
    </w:p>
    <w:p>
      <w:pPr>
        <w:pStyle w:val="ListParagraph"/>
        <w:numPr>
          <w:ilvl w:val="0"/>
          <w:numId w:val="1"/>
        </w:numPr>
        <w:rPr/>
      </w:pPr>
      <w:r>
        <w:rPr/>
        <w:t>Uživatel sdělí podklady a kontakt na specializované technologie, tak aby mohla být provedena koordinace a příprava pro tato zařízení.</w:t>
      </w:r>
    </w:p>
    <w:p>
      <w:pPr>
        <w:pStyle w:val="ListParagraph"/>
        <w:numPr>
          <w:ilvl w:val="0"/>
          <w:numId w:val="1"/>
        </w:numPr>
        <w:rPr/>
      </w:pPr>
      <w:r>
        <w:rPr/>
        <w:t>V dalším kroku projektové dokumentace bychom se rádi co nejdříve vyjádřili k slaboproudým rozvodům, slaboproudé technice, včetně projektu audio-video techniky. Žádáme o zaslání výše uvedené projektové dokumentace (slaboproud, slaboproudá technika, AV projekt a jiná technika) k finální kontrole před uzavřením projektu. Nejlépe však kompletní projektovou dokumentaci.</w:t>
      </w:r>
    </w:p>
    <w:p>
      <w:pPr>
        <w:pStyle w:val="ListParagrap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V Ostravě 7.12.2018</w:t>
      </w:r>
    </w:p>
    <w:p>
      <w:pPr>
        <w:pStyle w:val="Normal"/>
        <w:widowControl/>
        <w:bidi w:val="0"/>
        <w:spacing w:lineRule="auto" w:line="276" w:before="0" w:after="60"/>
        <w:jc w:val="left"/>
        <w:rPr/>
      </w:pPr>
      <w:r>
        <w:rPr>
          <w:color w:val="FF0000"/>
        </w:rPr>
        <w:t>Jiří Krpec, Pavel Pomezný, Lukáš Pečínka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-"/>
      <w:lvlJc w:val="left"/>
      <w:pPr>
        <w:ind w:left="780" w:hanging="360"/>
      </w:pPr>
      <w:rPr>
        <w:rFonts w:ascii="Arial" w:hAnsi="Arial" w:cs="Arial" w:hint="default"/>
        <w:rFonts w:cs="Arial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rFonts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423b7"/>
    <w:pPr>
      <w:widowControl/>
      <w:bidi w:val="0"/>
      <w:spacing w:lineRule="auto" w:line="276" w:before="0" w:after="60"/>
      <w:jc w:val="left"/>
    </w:pPr>
    <w:rPr>
      <w:rFonts w:ascii="Arial" w:hAnsi="Arial" w:eastAsia="Calibri" w:cs="" w:cstheme="minorBidi" w:eastAsiaTheme="minorHAnsi"/>
      <w:color w:val="auto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c72ff4"/>
    <w:rPr>
      <w:rFonts w:ascii="Segoe UI" w:hAnsi="Segoe UI" w:cs="Segoe UI"/>
      <w:sz w:val="18"/>
      <w:szCs w:val="18"/>
    </w:rPr>
  </w:style>
  <w:style w:type="character" w:styleId="Internetovodkaz">
    <w:name w:val="Internetový odkaz"/>
    <w:basedOn w:val="DefaultParagraphFont"/>
    <w:uiPriority w:val="99"/>
    <w:semiHidden/>
    <w:unhideWhenUsed/>
    <w:rsid w:val="00fa281d"/>
    <w:rPr>
      <w:color w:val="0000FF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2d5ee8"/>
    <w:rPr>
      <w:sz w:val="16"/>
      <w:szCs w:val="16"/>
    </w:rPr>
  </w:style>
  <w:style w:type="character" w:styleId="TextkomenteChar" w:customStyle="1">
    <w:name w:val="Text komentáře Char"/>
    <w:basedOn w:val="DefaultParagraphFont"/>
    <w:link w:val="Textkomente"/>
    <w:uiPriority w:val="99"/>
    <w:semiHidden/>
    <w:qFormat/>
    <w:rsid w:val="002d5ee8"/>
    <w:rPr>
      <w:rFonts w:ascii="Arial" w:hAnsi="Arial"/>
      <w:sz w:val="20"/>
      <w:szCs w:val="20"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qFormat/>
    <w:rsid w:val="002d5ee8"/>
    <w:rPr>
      <w:rFonts w:ascii="Arial" w:hAnsi="Arial"/>
      <w:b/>
      <w:bCs/>
      <w:sz w:val="20"/>
      <w:szCs w:val="20"/>
    </w:rPr>
  </w:style>
  <w:style w:type="character" w:styleId="ListLabel1">
    <w:name w:val="ListLabel 1"/>
    <w:qFormat/>
    <w:rPr>
      <w:rFonts w:eastAsia="Calibri" w:cs="Arial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Calibri" w:cs="Arial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eastAsia="Calibri" w:cs="Arial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eastAsia="Calibri" w:cs="Arial"/>
    </w:rPr>
  </w:style>
  <w:style w:type="character" w:styleId="ListLabel14">
    <w:name w:val="ListLabel 14"/>
    <w:qFormat/>
    <w:rPr>
      <w:rFonts w:eastAsia="Calibri" w:cs="Arial"/>
    </w:rPr>
  </w:style>
  <w:style w:type="character" w:styleId="ListLabel15">
    <w:name w:val="ListLabel 15"/>
    <w:qFormat/>
    <w:rPr>
      <w:rFonts w:eastAsia="Calibri" w:cs="Arial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eastAsia="Calibri" w:cs="Aria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eastAsia="Calibri" w:cs="Arial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eastAsia="Calibri" w:cs="Arial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eastAsia="Calibri" w:cs="Aria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eastAsia="Calibri" w:cs="Aria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eastAsia="Times New Roman" w:cs="Times New Roman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eastAsia="Times New Roman" w:cs="Times New Roman"/>
    </w:rPr>
  </w:style>
  <w:style w:type="character" w:styleId="ListLabel43">
    <w:name w:val="ListLabel 43"/>
    <w:qFormat/>
    <w:rPr>
      <w:rFonts w:eastAsia="Times New Roman" w:cs="Times New Roman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eastAsia="Calibri" w:cs="Aria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eastAsia="Calibri" w:cs="Arial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ohit Devanagari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3423b7"/>
    <w:pPr>
      <w:spacing w:before="0" w:after="60"/>
      <w:ind w:left="720" w:hanging="0"/>
      <w:contextualSpacing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c72ff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xtkomenteChar"/>
    <w:uiPriority w:val="99"/>
    <w:semiHidden/>
    <w:unhideWhenUsed/>
    <w:qFormat/>
    <w:rsid w:val="002d5ee8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PedmtkomenteChar"/>
    <w:uiPriority w:val="99"/>
    <w:semiHidden/>
    <w:unhideWhenUsed/>
    <w:qFormat/>
    <w:rsid w:val="002d5ee8"/>
    <w:pPr/>
    <w:rPr>
      <w:b/>
      <w:bCs/>
    </w:rPr>
  </w:style>
  <w:style w:type="paragraph" w:styleId="Odstavecseseznamem1" w:customStyle="1">
    <w:name w:val="Odstavec se seznamem1"/>
    <w:basedOn w:val="Normal"/>
    <w:qFormat/>
    <w:rsid w:val="00013fb1"/>
    <w:pPr>
      <w:spacing w:before="0" w:after="60"/>
      <w:ind w:left="720" w:hanging="0"/>
      <w:contextualSpacing/>
    </w:pPr>
    <w:rPr>
      <w:rFonts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LibreOffice/6.0.6.2$Linux_X86_64 LibreOffice_project/00m0$Build-2</Application>
  <Pages>6</Pages>
  <Words>1885</Words>
  <Characters>10642</Characters>
  <CharactersWithSpaces>12356</CharactersWithSpaces>
  <Paragraphs>115</Paragraphs>
  <Company>ELEKTRO-PROJEKCE s.r.o.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2018-12-07T10:21:00Z</dcterms:created>
  <dc:creator>Ing. Hana Matušková</dc:creator>
  <dc:description/>
  <dc:language>cs-CZ</dc:language>
  <cp:lastModifiedBy/>
  <cp:lastPrinted>2017-04-19T09:38:00Z</cp:lastPrinted>
  <dcterms:modified xsi:type="dcterms:W3CDTF">2018-12-07T13:16:45Z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ELEKTRO-PROJEKCE s.r.o.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